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7681E">
      <w:pPr>
        <w:rPr>
          <w:sz w:val="32"/>
          <w:szCs w:val="32"/>
        </w:rPr>
      </w:pPr>
    </w:p>
    <w:p w14:paraId="4B9D9386">
      <w:pPr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北京第二外国语学院成都附属中学购买</w:t>
      </w:r>
    </w:p>
    <w:p w14:paraId="0E825B4B"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成都市高中统考考情分析报告的采购项目</w:t>
      </w:r>
    </w:p>
    <w:p w14:paraId="3664F5D3">
      <w:pPr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比选通知书(服务类）</w:t>
      </w:r>
    </w:p>
    <w:p w14:paraId="02AF995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bookmarkStart w:id="0" w:name="_GoBack"/>
      <w:r>
        <w:rPr>
          <w:rFonts w:hint="eastAsia" w:ascii="宋体" w:hAnsi="宋体" w:eastAsia="宋体" w:cs="宋体"/>
          <w:sz w:val="24"/>
        </w:rPr>
        <w:t>北京第二外国语学院成都附属中学（以下简称“北二外成都附中学校</w:t>
      </w:r>
      <w:r>
        <w:rPr>
          <w:rFonts w:hint="eastAsia" w:ascii="宋体" w:hAnsi="宋体" w:eastAsia="宋体" w:cs="宋体"/>
          <w:sz w:val="24"/>
          <w:lang w:eastAsia="zh-CN"/>
        </w:rPr>
        <w:t>”</w:t>
      </w:r>
      <w:r>
        <w:rPr>
          <w:rFonts w:hint="eastAsia" w:ascii="宋体" w:hAnsi="宋体" w:eastAsia="宋体" w:cs="宋体"/>
          <w:sz w:val="24"/>
        </w:rPr>
        <w:t>）拟采购成都市高中统考考情分析报告（服务期一年），总限价为2.5万（大写：贰万伍仟元），现就所需成都市高中统考考情分析报告等货物进行公开比选，项目基本情况如下：</w:t>
      </w:r>
    </w:p>
    <w:p w14:paraId="6768B8B1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1、比选申请人符合参加本次比选活动应当具备的条件:</w:t>
      </w:r>
    </w:p>
    <w:p w14:paraId="57859C3A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具有独立承担民事责任的能力；</w:t>
      </w:r>
    </w:p>
    <w:p w14:paraId="6C7EC5BE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具有良好的商业信誉和健全的财务会计制度；</w:t>
      </w:r>
    </w:p>
    <w:p w14:paraId="0A5F33A8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具有履行合同所必须的设备和专业技术能力；</w:t>
      </w:r>
    </w:p>
    <w:p w14:paraId="4BF377F4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具有依法缴纳税收和社会保障资金的良好记录；</w:t>
      </w:r>
    </w:p>
    <w:p w14:paraId="3557C1D9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参加本次采购活动前三年内，在经营活动中没有重大违法记录；</w:t>
      </w:r>
    </w:p>
    <w:p w14:paraId="1971752F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法律、行政法规规定的其他条件；</w:t>
      </w:r>
    </w:p>
    <w:p w14:paraId="24225FA8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本项目不接受联合体比选。</w:t>
      </w:r>
    </w:p>
    <w:p w14:paraId="29436F7E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2、比选申请人须知</w:t>
      </w:r>
    </w:p>
    <w:p w14:paraId="1A24F5A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比选申请人应认真阅读比选通知书，明确各项要求。如比选申请人编制的比选响应材料不能响应和满足要求的，其比选申请书将被比选人拒绝或视为无效。</w:t>
      </w:r>
    </w:p>
    <w:p w14:paraId="5FF54E36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3、比选通知书领取方式、时间及地点：</w:t>
      </w:r>
    </w:p>
    <w:p w14:paraId="558A5056">
      <w:pPr>
        <w:spacing w:line="360" w:lineRule="auto"/>
        <w:ind w:firstLine="42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现场报名，2025年3月21日14</w:t>
      </w:r>
      <w:r>
        <w:rPr>
          <w:rFonts w:hint="eastAsia" w:ascii="宋体" w:hAnsi="宋体" w:eastAsia="宋体" w:cs="宋体"/>
          <w:sz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lang w:val="en-US" w:eastAsia="zh-CN"/>
        </w:rPr>
        <w:t>00</w:t>
      </w:r>
      <w:r>
        <w:rPr>
          <w:rFonts w:hint="eastAsia" w:ascii="宋体" w:hAnsi="宋体" w:eastAsia="宋体" w:cs="宋体"/>
          <w:sz w:val="24"/>
        </w:rPr>
        <w:t>-17:00在成都市武侯区千秀路800号北京第二外国语学院成都附属中学(千秀校区)教务处报名。</w:t>
      </w:r>
    </w:p>
    <w:p w14:paraId="1469D40B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4、请各供应商根据货品清单和参数要求（见附件一）于2025年3月26日15:00 前将加盖公章的响应资料（见附件二）交到成都市武侯区千秀路800号北京第二外国语学院成都附属中学(千秀校区)3楼会议室。</w:t>
      </w:r>
    </w:p>
    <w:p w14:paraId="1C0FF43E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5、联系人及联系电话</w:t>
      </w:r>
    </w:p>
    <w:p w14:paraId="596D0728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联系人：朱老师，联系电话：028-</w:t>
      </w:r>
      <w:r>
        <w:t xml:space="preserve"> </w:t>
      </w:r>
      <w:r>
        <w:rPr>
          <w:rFonts w:ascii="宋体" w:hAnsi="宋体" w:eastAsia="宋体" w:cs="宋体"/>
          <w:sz w:val="24"/>
        </w:rPr>
        <w:t>60802621</w:t>
      </w:r>
    </w:p>
    <w:p w14:paraId="6FE2EBAC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6、比选成交原则：最低价成交法或综合评分法（自拟评分明细）</w:t>
      </w:r>
    </w:p>
    <w:p w14:paraId="75E895A5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附件一：服务及技术、商务要求</w:t>
      </w:r>
    </w:p>
    <w:p w14:paraId="124ADE2B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附件二：比选报价文件</w:t>
      </w:r>
    </w:p>
    <w:p w14:paraId="7AFAA48C">
      <w:pPr>
        <w:spacing w:line="360" w:lineRule="auto"/>
        <w:ind w:firstLine="420"/>
        <w:rPr>
          <w:rFonts w:hint="eastAsia" w:ascii="宋体" w:hAnsi="宋体" w:eastAsia="宋体" w:cs="宋体"/>
          <w:sz w:val="24"/>
        </w:rPr>
      </w:pPr>
    </w:p>
    <w:p w14:paraId="55487D99">
      <w:pPr>
        <w:rPr>
          <w:rFonts w:hint="eastAsia" w:ascii="宋体" w:hAnsi="宋体" w:eastAsia="宋体" w:cs="宋体"/>
          <w:sz w:val="24"/>
        </w:rPr>
      </w:pPr>
    </w:p>
    <w:p w14:paraId="28CA49A7">
      <w:pPr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北京第二外国语学院成都附属中学</w:t>
      </w:r>
    </w:p>
    <w:p w14:paraId="302C2A6C">
      <w:pPr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2025年 3月15 日</w:t>
      </w:r>
    </w:p>
    <w:bookmarkEnd w:id="0"/>
    <w:p w14:paraId="6052A894">
      <w:pPr>
        <w:jc w:val="right"/>
        <w:rPr>
          <w:rFonts w:ascii="宋体" w:hAnsi="宋体" w:eastAsia="宋体" w:cs="宋体"/>
          <w:sz w:val="24"/>
        </w:rPr>
      </w:pPr>
    </w:p>
    <w:p w14:paraId="4CE79B20">
      <w:pPr>
        <w:jc w:val="right"/>
        <w:rPr>
          <w:rFonts w:ascii="宋体" w:hAnsi="宋体" w:eastAsia="宋体" w:cs="宋体"/>
          <w:sz w:val="24"/>
        </w:rPr>
      </w:pPr>
    </w:p>
    <w:p w14:paraId="3943DAAC">
      <w:pPr>
        <w:jc w:val="right"/>
        <w:rPr>
          <w:rFonts w:hint="eastAsia" w:ascii="宋体" w:hAnsi="宋体" w:eastAsia="宋体" w:cs="宋体"/>
          <w:sz w:val="24"/>
        </w:rPr>
      </w:pPr>
    </w:p>
    <w:p w14:paraId="504F0480">
      <w:pPr>
        <w:jc w:val="right"/>
        <w:rPr>
          <w:rFonts w:hint="eastAsia" w:ascii="宋体" w:hAnsi="宋体" w:eastAsia="宋体" w:cs="宋体"/>
          <w:sz w:val="24"/>
        </w:rPr>
      </w:pPr>
    </w:p>
    <w:p w14:paraId="0FCA12C8">
      <w:pPr>
        <w:rPr>
          <w:rFonts w:hint="eastAsia" w:ascii="宋体" w:hAnsi="宋体" w:eastAsia="宋体" w:cs="宋体"/>
          <w:sz w:val="24"/>
        </w:rPr>
      </w:pPr>
    </w:p>
    <w:p w14:paraId="539DFA90">
      <w:pPr>
        <w:rPr>
          <w:rFonts w:hint="eastAsia" w:ascii="宋体" w:hAnsi="宋体" w:eastAsia="宋体" w:cs="宋体"/>
          <w:sz w:val="24"/>
        </w:rPr>
      </w:pPr>
    </w:p>
    <w:p w14:paraId="4949C213">
      <w:pPr>
        <w:rPr>
          <w:rFonts w:hint="eastAsia" w:ascii="宋体" w:hAnsi="宋体" w:eastAsia="宋体" w:cs="宋体"/>
          <w:sz w:val="24"/>
        </w:rPr>
      </w:pPr>
    </w:p>
    <w:p w14:paraId="6EA88971">
      <w:pPr>
        <w:rPr>
          <w:rFonts w:hint="eastAsia" w:ascii="宋体" w:hAnsi="宋体" w:eastAsia="宋体" w:cs="宋体"/>
          <w:sz w:val="24"/>
        </w:rPr>
      </w:pPr>
    </w:p>
    <w:p w14:paraId="6FD9BD1C">
      <w:pPr>
        <w:rPr>
          <w:rFonts w:hint="eastAsia" w:ascii="宋体" w:hAnsi="宋体" w:eastAsia="宋体" w:cs="宋体"/>
          <w:sz w:val="24"/>
        </w:rPr>
      </w:pPr>
    </w:p>
    <w:p w14:paraId="35E6DC20">
      <w:pPr>
        <w:rPr>
          <w:rFonts w:hint="eastAsia" w:ascii="宋体" w:hAnsi="宋体" w:eastAsia="宋体" w:cs="宋体"/>
          <w:sz w:val="24"/>
        </w:rPr>
      </w:pPr>
    </w:p>
    <w:p w14:paraId="3AFCFA68">
      <w:pPr>
        <w:rPr>
          <w:rFonts w:hint="eastAsia" w:ascii="宋体" w:hAnsi="宋体" w:eastAsia="宋体" w:cs="宋体"/>
          <w:sz w:val="24"/>
        </w:rPr>
      </w:pPr>
    </w:p>
    <w:p w14:paraId="07672480">
      <w:pPr>
        <w:rPr>
          <w:rFonts w:hint="eastAsia" w:ascii="宋体" w:hAnsi="宋体" w:eastAsia="宋体" w:cs="宋体"/>
          <w:sz w:val="24"/>
        </w:rPr>
      </w:pPr>
    </w:p>
    <w:p w14:paraId="6485F8DB">
      <w:pPr>
        <w:rPr>
          <w:rFonts w:hint="eastAsia" w:ascii="宋体" w:hAnsi="宋体" w:eastAsia="宋体" w:cs="宋体"/>
          <w:sz w:val="24"/>
        </w:rPr>
      </w:pPr>
    </w:p>
    <w:p w14:paraId="4B2FDDBF">
      <w:pPr>
        <w:rPr>
          <w:rFonts w:hint="eastAsia" w:ascii="宋体" w:hAnsi="宋体" w:eastAsia="宋体" w:cs="宋体"/>
          <w:sz w:val="24"/>
        </w:rPr>
      </w:pPr>
    </w:p>
    <w:p w14:paraId="46F669B9">
      <w:pPr>
        <w:rPr>
          <w:rFonts w:hint="eastAsia" w:ascii="宋体" w:hAnsi="宋体" w:eastAsia="宋体" w:cs="宋体"/>
          <w:sz w:val="24"/>
        </w:rPr>
      </w:pPr>
    </w:p>
    <w:p w14:paraId="0B19E152">
      <w:pPr>
        <w:rPr>
          <w:rFonts w:hint="eastAsia" w:ascii="宋体" w:hAnsi="宋体" w:eastAsia="宋体" w:cs="宋体"/>
          <w:sz w:val="24"/>
        </w:rPr>
      </w:pPr>
    </w:p>
    <w:p w14:paraId="1EF9F26D">
      <w:pPr>
        <w:rPr>
          <w:rFonts w:hint="eastAsia" w:ascii="宋体" w:hAnsi="宋体" w:eastAsia="宋体" w:cs="宋体"/>
          <w:sz w:val="24"/>
        </w:rPr>
      </w:pPr>
    </w:p>
    <w:p w14:paraId="660B8CBE">
      <w:pPr>
        <w:rPr>
          <w:rFonts w:hint="eastAsia" w:ascii="宋体" w:hAnsi="宋体" w:eastAsia="宋体" w:cs="宋体"/>
          <w:sz w:val="24"/>
        </w:rPr>
      </w:pPr>
    </w:p>
    <w:p w14:paraId="3051390A">
      <w:pPr>
        <w:rPr>
          <w:rFonts w:hint="eastAsia" w:ascii="宋体" w:hAnsi="宋体" w:eastAsia="宋体" w:cs="宋体"/>
          <w:sz w:val="24"/>
        </w:rPr>
      </w:pPr>
    </w:p>
    <w:p w14:paraId="0B098DC0">
      <w:pPr>
        <w:rPr>
          <w:rFonts w:hint="eastAsia" w:ascii="宋体" w:hAnsi="宋体" w:eastAsia="宋体" w:cs="宋体"/>
          <w:sz w:val="24"/>
        </w:rPr>
      </w:pPr>
    </w:p>
    <w:p w14:paraId="6B5B4269">
      <w:pPr>
        <w:rPr>
          <w:rFonts w:hint="eastAsia" w:ascii="宋体" w:hAnsi="宋体" w:eastAsia="宋体" w:cs="宋体"/>
          <w:sz w:val="24"/>
        </w:rPr>
      </w:pPr>
    </w:p>
    <w:p w14:paraId="05E3A7D9">
      <w:pPr>
        <w:rPr>
          <w:rFonts w:hint="eastAsia" w:ascii="宋体" w:hAnsi="宋体" w:eastAsia="宋体" w:cs="宋体"/>
          <w:sz w:val="24"/>
        </w:rPr>
      </w:pPr>
    </w:p>
    <w:p w14:paraId="5DC7E184">
      <w:pPr>
        <w:rPr>
          <w:rFonts w:hint="eastAsia" w:ascii="宋体" w:hAnsi="宋体" w:eastAsia="宋体" w:cs="宋体"/>
          <w:sz w:val="24"/>
        </w:rPr>
      </w:pPr>
    </w:p>
    <w:p w14:paraId="54C610DB">
      <w:pPr>
        <w:rPr>
          <w:rFonts w:hint="eastAsia" w:ascii="宋体" w:hAnsi="宋体" w:eastAsia="宋体" w:cs="宋体"/>
          <w:sz w:val="24"/>
        </w:rPr>
      </w:pPr>
    </w:p>
    <w:p w14:paraId="5B4CAC7A">
      <w:pPr>
        <w:rPr>
          <w:rFonts w:hint="eastAsia" w:ascii="宋体" w:hAnsi="宋体" w:eastAsia="宋体" w:cs="宋体"/>
          <w:sz w:val="24"/>
        </w:rPr>
      </w:pPr>
    </w:p>
    <w:p w14:paraId="08263619">
      <w:pPr>
        <w:rPr>
          <w:rFonts w:hint="eastAsia" w:ascii="宋体" w:hAnsi="宋体" w:eastAsia="宋体" w:cs="宋体"/>
          <w:sz w:val="24"/>
        </w:rPr>
      </w:pPr>
    </w:p>
    <w:p w14:paraId="23BB88CA">
      <w:pPr>
        <w:rPr>
          <w:rFonts w:hint="eastAsia" w:ascii="宋体" w:hAnsi="宋体" w:eastAsia="宋体" w:cs="宋体"/>
          <w:sz w:val="24"/>
        </w:rPr>
      </w:pPr>
    </w:p>
    <w:p w14:paraId="32D913E8">
      <w:pPr>
        <w:rPr>
          <w:rFonts w:hint="eastAsia" w:ascii="宋体" w:hAnsi="宋体" w:eastAsia="宋体" w:cs="宋体"/>
          <w:sz w:val="24"/>
        </w:rPr>
      </w:pPr>
    </w:p>
    <w:p w14:paraId="71B54C1A">
      <w:pPr>
        <w:rPr>
          <w:rFonts w:hint="eastAsia" w:ascii="宋体" w:hAnsi="宋体" w:eastAsia="宋体" w:cs="宋体"/>
          <w:sz w:val="24"/>
        </w:rPr>
      </w:pPr>
    </w:p>
    <w:p w14:paraId="462D6076">
      <w:pPr>
        <w:rPr>
          <w:rFonts w:hint="eastAsia" w:ascii="宋体" w:hAnsi="宋体" w:eastAsia="宋体" w:cs="宋体"/>
          <w:sz w:val="24"/>
        </w:rPr>
      </w:pPr>
    </w:p>
    <w:p w14:paraId="2360A7A2">
      <w:pPr>
        <w:rPr>
          <w:rFonts w:hint="eastAsia" w:ascii="宋体" w:hAnsi="宋体" w:eastAsia="宋体" w:cs="宋体"/>
          <w:sz w:val="24"/>
        </w:rPr>
      </w:pPr>
    </w:p>
    <w:p w14:paraId="7866D6DD">
      <w:pPr>
        <w:rPr>
          <w:rFonts w:hint="eastAsia" w:ascii="宋体" w:hAnsi="宋体" w:eastAsia="宋体" w:cs="宋体"/>
          <w:sz w:val="24"/>
        </w:rPr>
      </w:pPr>
    </w:p>
    <w:p w14:paraId="0C1CABE5">
      <w:pPr>
        <w:rPr>
          <w:rFonts w:hint="eastAsia" w:ascii="宋体" w:hAnsi="宋体" w:eastAsia="宋体" w:cs="宋体"/>
          <w:sz w:val="24"/>
        </w:rPr>
      </w:pPr>
    </w:p>
    <w:p w14:paraId="483001AC">
      <w:pPr>
        <w:rPr>
          <w:rFonts w:hint="eastAsia" w:ascii="宋体" w:hAnsi="宋体" w:eastAsia="宋体" w:cs="宋体"/>
          <w:sz w:val="24"/>
        </w:rPr>
      </w:pPr>
    </w:p>
    <w:p w14:paraId="6D9E5AB6">
      <w:pPr>
        <w:rPr>
          <w:rFonts w:hint="eastAsia" w:ascii="宋体" w:hAnsi="宋体" w:eastAsia="宋体" w:cs="宋体"/>
          <w:sz w:val="24"/>
        </w:rPr>
      </w:pPr>
    </w:p>
    <w:p w14:paraId="15D65858">
      <w:pPr>
        <w:rPr>
          <w:rFonts w:hint="eastAsia" w:ascii="宋体" w:hAnsi="宋体" w:eastAsia="宋体" w:cs="宋体"/>
          <w:sz w:val="24"/>
        </w:rPr>
      </w:pPr>
    </w:p>
    <w:p w14:paraId="1C53A6BE">
      <w:pPr>
        <w:rPr>
          <w:rFonts w:hint="eastAsia" w:ascii="宋体" w:hAnsi="宋体" w:eastAsia="宋体" w:cs="宋体"/>
          <w:sz w:val="24"/>
        </w:rPr>
      </w:pPr>
    </w:p>
    <w:p w14:paraId="32995F87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附件一</w:t>
      </w:r>
    </w:p>
    <w:p w14:paraId="6463FC43">
      <w:pPr>
        <w:jc w:val="center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服务内容及商务要求</w:t>
      </w:r>
    </w:p>
    <w:p w14:paraId="14C919EB">
      <w:pPr>
        <w:rPr>
          <w:rFonts w:hint="eastAsia" w:ascii="宋体" w:hAnsi="宋体" w:eastAsia="宋体" w:cs="宋体"/>
          <w:sz w:val="24"/>
        </w:rPr>
      </w:pPr>
    </w:p>
    <w:p w14:paraId="11DDC087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一、服务内容及要求</w:t>
      </w:r>
    </w:p>
    <w:tbl>
      <w:tblPr>
        <w:tblStyle w:val="4"/>
        <w:tblpPr w:leftFromText="180" w:rightFromText="180" w:vertAnchor="text" w:horzAnchor="page" w:tblpXSpec="center" w:tblpY="31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3117"/>
        <w:gridCol w:w="4063"/>
      </w:tblGrid>
      <w:tr w14:paraId="646DB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59" w:type="dxa"/>
          </w:tcPr>
          <w:p w14:paraId="33F98DC8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3117" w:type="dxa"/>
          </w:tcPr>
          <w:p w14:paraId="2456D986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服务内容</w:t>
            </w:r>
          </w:p>
        </w:tc>
        <w:tc>
          <w:tcPr>
            <w:tcW w:w="4063" w:type="dxa"/>
          </w:tcPr>
          <w:p w14:paraId="0FBBDC51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服务要求</w:t>
            </w:r>
          </w:p>
        </w:tc>
      </w:tr>
      <w:tr w14:paraId="7EFF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59" w:type="dxa"/>
          </w:tcPr>
          <w:p w14:paraId="3BA17512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3117" w:type="dxa"/>
          </w:tcPr>
          <w:p w14:paraId="653AEF46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成都市高中6次统考考情分析报告，主要包括学校考情报告、 学科考情报告、 班级考情报告、学生个人简报；</w:t>
            </w:r>
          </w:p>
        </w:tc>
        <w:tc>
          <w:tcPr>
            <w:tcW w:w="4063" w:type="dxa"/>
          </w:tcPr>
          <w:p w14:paraId="6D8633AC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可支持从学校 、班级 、学生的总分 、科目 、知识点能力值比较分析,并逐级展示从学校 、班级到学生的各科的偏科情况精准呈现，下载偏科分析报表； 同时可对学校 、班级 、学生的历次考试的总分 、科目 、知识点的成长变化情况  形成纵向跟踪比较， 使个体和组织的记录保持连贯性， 形成数据链 。 同时支持按学校、 班级不同层级的划线 （可按分数 、人数 、百分比划线） 分析结果及划线后各种占比情况， 支持划线线上学上的报表下载。</w:t>
            </w:r>
          </w:p>
          <w:p w14:paraId="55769126">
            <w:pPr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EC8D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59" w:type="dxa"/>
          </w:tcPr>
          <w:p w14:paraId="61290E00"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3117" w:type="dxa"/>
          </w:tcPr>
          <w:p w14:paraId="67693C73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开通教师移动端、PC 端:为全校所有教师开通教师移动端、PC 端的使用权限， 教师通过使用移动端、PC 端，用预留给学校的手机号进行登录使用（电脑端同一个账号密码）。</w:t>
            </w:r>
          </w:p>
        </w:tc>
        <w:tc>
          <w:tcPr>
            <w:tcW w:w="4063" w:type="dxa"/>
          </w:tcPr>
          <w:p w14:paraId="03FB7EE2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数据可视化分析模块、错题集模块、讲评教研模块、报表下载模块；支持老师下载权限范围内的各类报表， 支持老师下载自动生成细化到知识点能力值的学生成绩报告单。负责实施项目中涉及的相关技术工作并提供技术支持。</w:t>
            </w:r>
          </w:p>
        </w:tc>
      </w:tr>
    </w:tbl>
    <w:p w14:paraId="49B678F3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</w:p>
    <w:p w14:paraId="0578ED33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</w:p>
    <w:p w14:paraId="659535C8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  <w:r>
        <w:rPr>
          <w:rFonts w:hint="eastAsia" w:ascii="宋体" w:hAnsi="宋体" w:eastAsia="宋体" w:cs="宋体"/>
          <w:sz w:val="24"/>
        </w:rPr>
        <w:tab/>
      </w:r>
    </w:p>
    <w:p w14:paraId="3A436CC4">
      <w:pPr>
        <w:rPr>
          <w:rFonts w:hint="eastAsia" w:ascii="宋体" w:hAnsi="宋体" w:eastAsia="宋体" w:cs="宋体"/>
          <w:sz w:val="24"/>
        </w:rPr>
      </w:pPr>
    </w:p>
    <w:p w14:paraId="34AFEBF7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二、商务要求</w:t>
      </w:r>
    </w:p>
    <w:p w14:paraId="34DFE734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（1）服务内容</w:t>
      </w:r>
    </w:p>
    <w:p w14:paraId="4D969927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数据对接无误后，在24小时内返回数据分析结果。</w:t>
      </w:r>
    </w:p>
    <w:p w14:paraId="0CB7A372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（2）付款方式</w:t>
      </w:r>
    </w:p>
    <w:p w14:paraId="7C74781E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合同签订后，收到服务商提供的合规发票后10个工作日内付款。</w:t>
      </w:r>
    </w:p>
    <w:p w14:paraId="65FD034F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（3）其它要求</w:t>
      </w:r>
    </w:p>
    <w:p w14:paraId="028DD978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对项目实施中涉及的相关技术工作提供电话和网络技术支持服务。</w:t>
      </w:r>
    </w:p>
    <w:p w14:paraId="0920E6BE">
      <w:pPr>
        <w:rPr>
          <w:rFonts w:ascii="宋体" w:hAnsi="宋体" w:eastAsia="宋体" w:cs="宋体"/>
          <w:sz w:val="24"/>
        </w:rPr>
      </w:pPr>
    </w:p>
    <w:p w14:paraId="4E2FEE98">
      <w:pPr>
        <w:rPr>
          <w:rFonts w:ascii="宋体" w:hAnsi="宋体" w:eastAsia="宋体" w:cs="宋体"/>
          <w:sz w:val="24"/>
        </w:rPr>
      </w:pPr>
    </w:p>
    <w:p w14:paraId="06C34989">
      <w:pPr>
        <w:rPr>
          <w:rFonts w:ascii="宋体" w:hAnsi="宋体" w:eastAsia="宋体" w:cs="宋体"/>
          <w:sz w:val="24"/>
        </w:rPr>
      </w:pPr>
    </w:p>
    <w:p w14:paraId="3A8D2164">
      <w:pPr>
        <w:rPr>
          <w:rFonts w:ascii="宋体" w:hAnsi="宋体" w:eastAsia="宋体" w:cs="宋体"/>
          <w:sz w:val="24"/>
        </w:rPr>
      </w:pPr>
    </w:p>
    <w:p w14:paraId="587942D5">
      <w:pPr>
        <w:rPr>
          <w:rFonts w:ascii="宋体" w:hAnsi="宋体" w:eastAsia="宋体" w:cs="宋体"/>
          <w:sz w:val="24"/>
        </w:rPr>
      </w:pPr>
    </w:p>
    <w:p w14:paraId="7E39C856">
      <w:pPr>
        <w:rPr>
          <w:rFonts w:hint="eastAsia" w:ascii="宋体" w:hAnsi="宋体" w:eastAsia="宋体" w:cs="宋体"/>
          <w:sz w:val="24"/>
        </w:rPr>
      </w:pPr>
    </w:p>
    <w:p w14:paraId="7D96F143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附件二</w:t>
      </w:r>
    </w:p>
    <w:p w14:paraId="6FEBD834">
      <w:pPr>
        <w:rPr>
          <w:rFonts w:ascii="宋体" w:hAnsi="宋体" w:eastAsia="宋体" w:cs="宋体"/>
          <w:sz w:val="24"/>
        </w:rPr>
      </w:pPr>
    </w:p>
    <w:p w14:paraId="2F001AD6">
      <w:pPr>
        <w:rPr>
          <w:rFonts w:hint="eastAsia" w:ascii="宋体" w:hAnsi="宋体" w:eastAsia="宋体" w:cs="宋体"/>
          <w:sz w:val="24"/>
        </w:rPr>
      </w:pPr>
    </w:p>
    <w:p w14:paraId="241884F7">
      <w:pPr>
        <w:ind w:firstLine="42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根据资格要求和技术服务要求，由供应商提供相关资料证明和报价表，进行文件编制，格式自拟并打印成册。</w:t>
      </w:r>
    </w:p>
    <w:p w14:paraId="1F1A0723">
      <w:pPr>
        <w:ind w:firstLine="42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需加盖公章并签署比选负责人姓名。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CC0F3B"/>
    <w:rsid w:val="002B4576"/>
    <w:rsid w:val="004656A6"/>
    <w:rsid w:val="00490255"/>
    <w:rsid w:val="00692094"/>
    <w:rsid w:val="006D0C6C"/>
    <w:rsid w:val="00701E4B"/>
    <w:rsid w:val="007415DD"/>
    <w:rsid w:val="00937B76"/>
    <w:rsid w:val="00946599"/>
    <w:rsid w:val="009B2C9E"/>
    <w:rsid w:val="00DC2EB7"/>
    <w:rsid w:val="44E62DD4"/>
    <w:rsid w:val="5FFB2843"/>
    <w:rsid w:val="69CC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uiPriority w:val="0"/>
    <w:pPr>
      <w:ind w:left="100" w:leftChars="25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日期 字符"/>
    <w:basedOn w:val="5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1264</Words>
  <Characters>1310</Characters>
  <Lines>149</Lines>
  <Paragraphs>158</Paragraphs>
  <TotalTime>57</TotalTime>
  <ScaleCrop>false</ScaleCrop>
  <LinksUpToDate>false</LinksUpToDate>
  <CharactersWithSpaces>1355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2025-04-15T10:53:00Z</dcterms:created>
  <dc:creator>郭寒寒的工作号</dc:creator>
  <cp:lastModifiedBy>吴经理</cp:lastModifiedBy>
  <dcterms:modified xsi:type="dcterms:W3CDTF">2025-04-17T06:40:13Z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EBD1A241C87C4DAD96ECDFFC41ACE7C3_13</vt:lpwstr>
  </property>
</Properties>
</file>